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  <w:t>日照汽车站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63635"/>
          <w:spacing w:val="0"/>
          <w:sz w:val="44"/>
          <w:szCs w:val="44"/>
          <w:shd w:val="clear" w:fill="FFFFFF"/>
          <w:lang w:eastAsia="zh-CN"/>
        </w:rPr>
        <w:t>第二季度经营情况</w:t>
      </w:r>
    </w:p>
    <w:p>
      <w:pP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日照汽车站第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eastAsia="zh-CN"/>
        </w:rPr>
        <w:t>二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季度完成产值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200.31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万元，实际营业收入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188.97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万元，发送旅客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7.92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万人，上缴税费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i w:val="0"/>
          <w:caps w:val="0"/>
          <w:color w:val="363635"/>
          <w:spacing w:val="0"/>
          <w:sz w:val="32"/>
          <w:szCs w:val="32"/>
          <w:shd w:val="clear" w:fill="FFFFFF"/>
        </w:rPr>
        <w:t>万元。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C69BC"/>
    <w:rsid w:val="43A6346C"/>
    <w:rsid w:val="50BC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2022-11-22T06:08:00Z</dcterms:created>
  <dc:creator>莫奈的色彩</dc:creator>
  <cp:lastModifiedBy>莫奈的色彩</cp:lastModifiedBy>
  <dcterms:modified xsi:type="dcterms:W3CDTF">2022-11-23T04:10:27Z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